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327"/>
        <w:tblW w:w="0" w:type="auto"/>
        <w:tblLook w:val="04A0" w:firstRow="1" w:lastRow="0" w:firstColumn="1" w:lastColumn="0" w:noHBand="0" w:noVBand="1"/>
      </w:tblPr>
      <w:tblGrid>
        <w:gridCol w:w="1216"/>
        <w:gridCol w:w="1816"/>
        <w:gridCol w:w="1939"/>
        <w:gridCol w:w="1892"/>
        <w:gridCol w:w="1886"/>
        <w:gridCol w:w="1701"/>
        <w:gridCol w:w="186"/>
        <w:gridCol w:w="1553"/>
        <w:gridCol w:w="1761"/>
      </w:tblGrid>
      <w:tr w:rsidR="007E231E" w:rsidRPr="00ED3359" w14:paraId="2F5F2B17" w14:textId="77777777" w:rsidTr="0046517E">
        <w:trPr>
          <w:trHeight w:val="552"/>
        </w:trPr>
        <w:tc>
          <w:tcPr>
            <w:tcW w:w="1315" w:type="dxa"/>
          </w:tcPr>
          <w:p w14:paraId="1EA71AEC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0BC08EAD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FFCC00"/>
          </w:tcPr>
          <w:p w14:paraId="752E4C80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2031" w:type="dxa"/>
            <w:shd w:val="clear" w:color="auto" w:fill="FFCC00"/>
          </w:tcPr>
          <w:p w14:paraId="0C39B98C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009" w:type="dxa"/>
            <w:shd w:val="clear" w:color="auto" w:fill="00FF00"/>
          </w:tcPr>
          <w:p w14:paraId="1D8FEAD5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35309EFC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09" w:type="dxa"/>
            <w:gridSpan w:val="2"/>
            <w:shd w:val="clear" w:color="auto" w:fill="00FF00"/>
          </w:tcPr>
          <w:p w14:paraId="254FE677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0549308F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632" w:type="dxa"/>
            <w:shd w:val="clear" w:color="auto" w:fill="FF00FF"/>
          </w:tcPr>
          <w:p w14:paraId="63D8A2CE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76" w:type="dxa"/>
            <w:shd w:val="clear" w:color="auto" w:fill="FF00FF"/>
          </w:tcPr>
          <w:p w14:paraId="08EAB645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7E231E" w:rsidRPr="00ED3359" w14:paraId="180A7547" w14:textId="77777777" w:rsidTr="0046517E">
        <w:trPr>
          <w:trHeight w:val="2339"/>
        </w:trPr>
        <w:tc>
          <w:tcPr>
            <w:tcW w:w="1315" w:type="dxa"/>
            <w:vMerge w:val="restart"/>
          </w:tcPr>
          <w:p w14:paraId="7104E9C5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>Year Three</w:t>
            </w:r>
          </w:p>
        </w:tc>
        <w:tc>
          <w:tcPr>
            <w:tcW w:w="1912" w:type="dxa"/>
          </w:tcPr>
          <w:p w14:paraId="6489114B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100" w:type="dxa"/>
          </w:tcPr>
          <w:p w14:paraId="79694548" w14:textId="77777777" w:rsidR="007E231E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5693CF98" w14:textId="77777777" w:rsidR="007E231E" w:rsidRPr="006C199B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C199B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7F8FDE8B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</w:t>
            </w:r>
            <w:r w:rsidRPr="003C5EA2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heme: Helping others</w:t>
            </w:r>
          </w:p>
          <w:p w14:paraId="4D598304" w14:textId="77777777" w:rsidR="007E231E" w:rsidRPr="009D369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>Books: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This Moose Belongs to Me – Oliver Jeffers</w:t>
            </w:r>
          </w:p>
          <w:p w14:paraId="7E04087E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>Roald Dahl Week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: George’s Marvellous Medicine</w:t>
            </w:r>
          </w:p>
          <w:p w14:paraId="7BC6B405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Poetry Week: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Roger McGough</w:t>
            </w:r>
          </w:p>
          <w:p w14:paraId="10F5138A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Black History Month: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Little Leaders Bold Women in Black History </w:t>
            </w:r>
          </w:p>
          <w:p w14:paraId="24FB4204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Little Leaders Exceptional Men in Black History</w:t>
            </w:r>
          </w:p>
          <w:p w14:paraId="562065B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33EB54FB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Appreciation</w:t>
            </w:r>
          </w:p>
          <w:p w14:paraId="6627F4CD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>Books: Based on The Ages</w:t>
            </w:r>
          </w:p>
          <w:p w14:paraId="25E75196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Stone Age Boy by Satoshi Kitamura</w:t>
            </w:r>
          </w:p>
          <w:p w14:paraId="3631BDA9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Stig of the Dump – Clive King</w:t>
            </w:r>
          </w:p>
          <w:p w14:paraId="2D45D1E4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A91D4F8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7A41052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Other books: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Ug: Boy Genius of the Stone Age and His Search For Soft Trousers by Raymond Briggs</w:t>
            </w:r>
          </w:p>
          <w:p w14:paraId="6C131F02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34998E6E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T</w:t>
            </w:r>
            <w:r w:rsidRPr="003C5EA2">
              <w:rPr>
                <w:rFonts w:ascii="Twinkl" w:hAnsi="Twinkl"/>
                <w:b/>
                <w:sz w:val="14"/>
                <w:szCs w:val="14"/>
                <w:u w:val="single"/>
              </w:rPr>
              <w:t>heme: Environmental Issues</w:t>
            </w:r>
          </w:p>
          <w:p w14:paraId="01F9F1CC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Pr="003C5EA2">
              <w:rPr>
                <w:rFonts w:ascii="Twinkl" w:hAnsi="Twinkl"/>
                <w:sz w:val="14"/>
                <w:szCs w:val="14"/>
              </w:rPr>
              <w:t>The Great Kapok Tree</w:t>
            </w:r>
          </w:p>
          <w:p w14:paraId="6CBDDECC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4B192116" w14:textId="1066BB87" w:rsidR="007E231E" w:rsidRDefault="00CD59E8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What a waste by Jess French</w:t>
            </w:r>
          </w:p>
          <w:p w14:paraId="5034F0B3" w14:textId="77777777" w:rsidR="00CD59E8" w:rsidRDefault="00CD59E8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E1725D5" w14:textId="77777777" w:rsidR="007E231E" w:rsidRPr="002B1509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E4ACE">
              <w:rPr>
                <w:rFonts w:ascii="Twinkl" w:hAnsi="Twinkl"/>
                <w:b/>
                <w:sz w:val="14"/>
                <w:szCs w:val="14"/>
                <w:lang w:val="en-US"/>
              </w:rPr>
              <w:t>Poetry Week: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Pr="002B1509">
              <w:rPr>
                <w:rFonts w:ascii="Twinkl" w:hAnsi="Twinkl"/>
                <w:sz w:val="14"/>
                <w:szCs w:val="14"/>
                <w:lang w:val="en-US"/>
              </w:rPr>
              <w:t>The Lost Words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</w:t>
            </w:r>
            <w:r w:rsidRPr="002B1509">
              <w:rPr>
                <w:rFonts w:ascii="Twinkl" w:hAnsi="Twinkl"/>
                <w:sz w:val="14"/>
                <w:szCs w:val="14"/>
                <w:lang w:val="en-US"/>
              </w:rPr>
              <w:t>Robert Macfarlane &amp; Jackie Morris</w:t>
            </w:r>
          </w:p>
          <w:p w14:paraId="791311E0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BA1B2BC" w14:textId="7C868F4E" w:rsidR="007E231E" w:rsidRPr="00ED3359" w:rsidRDefault="007E231E" w:rsidP="00CD59E8">
            <w:pPr>
              <w:rPr>
                <w:rFonts w:ascii="Twinkl" w:hAnsi="Twink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</w:tc>
        <w:tc>
          <w:tcPr>
            <w:tcW w:w="2009" w:type="dxa"/>
            <w:gridSpan w:val="2"/>
          </w:tcPr>
          <w:p w14:paraId="3552D9F2" w14:textId="77777777" w:rsidR="007E231E" w:rsidRPr="00C666C6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C666C6">
              <w:rPr>
                <w:rFonts w:ascii="Twinkl" w:hAnsi="Twinkl"/>
                <w:b/>
                <w:sz w:val="14"/>
                <w:szCs w:val="14"/>
                <w:u w:val="single"/>
              </w:rPr>
              <w:t>Theme: Friendship</w:t>
            </w:r>
          </w:p>
          <w:p w14:paraId="467FF84C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3C5EA2">
              <w:rPr>
                <w:rFonts w:ascii="Twinkl" w:hAnsi="Twinkl"/>
                <w:sz w:val="14"/>
                <w:szCs w:val="14"/>
              </w:rPr>
              <w:t>Ottoline and The Yellow Cat by Chris Riddell</w:t>
            </w:r>
          </w:p>
          <w:p w14:paraId="36655E3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9DC3F51" w14:textId="77777777" w:rsidR="007E231E" w:rsidRPr="00F8111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64936691" w14:textId="5590D9E7" w:rsidR="007E231E" w:rsidRPr="00ED3359" w:rsidRDefault="007B54EA" w:rsidP="007B54E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How to Help a Hedgehog and protect a Polar Bear by Jess French </w:t>
            </w:r>
          </w:p>
        </w:tc>
        <w:tc>
          <w:tcPr>
            <w:tcW w:w="1632" w:type="dxa"/>
          </w:tcPr>
          <w:p w14:paraId="05D2C4C3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Pr="003C5EA2">
              <w:rPr>
                <w:rFonts w:ascii="Twinkl" w:hAnsi="Twinkl"/>
                <w:sz w:val="14"/>
                <w:szCs w:val="14"/>
              </w:rPr>
              <w:t xml:space="preserve">The </w:t>
            </w:r>
            <w:r>
              <w:rPr>
                <w:rFonts w:ascii="Twinkl" w:hAnsi="Twinkl"/>
                <w:sz w:val="14"/>
                <w:szCs w:val="14"/>
              </w:rPr>
              <w:t xml:space="preserve">Legend of Spud Murphy. </w:t>
            </w:r>
          </w:p>
          <w:p w14:paraId="01D3188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A60A28D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There is a snake in my school by David Walliams </w:t>
            </w:r>
          </w:p>
          <w:p w14:paraId="0848B4D9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84EA718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607170">
              <w:rPr>
                <w:rFonts w:ascii="Twinkl" w:hAnsi="Twinkl"/>
                <w:b/>
                <w:sz w:val="14"/>
                <w:szCs w:val="14"/>
              </w:rPr>
              <w:t>Poetry Week</w:t>
            </w:r>
            <w:r>
              <w:rPr>
                <w:rFonts w:ascii="Twinkl" w:hAnsi="Twinkl"/>
                <w:sz w:val="14"/>
                <w:szCs w:val="14"/>
              </w:rPr>
              <w:t>: Stars with Flaming Tails by Valerie Bloom</w:t>
            </w:r>
          </w:p>
        </w:tc>
        <w:tc>
          <w:tcPr>
            <w:tcW w:w="1876" w:type="dxa"/>
          </w:tcPr>
          <w:p w14:paraId="2C6D41C0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Ancient Egypt </w:t>
            </w:r>
          </w:p>
          <w:p w14:paraId="76802A27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</w:p>
          <w:p w14:paraId="2DDE1E58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3C5EA2">
              <w:rPr>
                <w:rFonts w:ascii="Twinkl" w:hAnsi="Twinkl"/>
                <w:sz w:val="14"/>
                <w:szCs w:val="14"/>
              </w:rPr>
              <w:t>Cinderella of the Nile – Beverly Naidoo</w:t>
            </w:r>
          </w:p>
          <w:p w14:paraId="3D3ED954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F2450AC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Malala’s Magic Pencil </w:t>
            </w:r>
          </w:p>
          <w:p w14:paraId="1F379234" w14:textId="77777777" w:rsidR="007E231E" w:rsidRPr="003C5EA2" w:rsidRDefault="007E231E" w:rsidP="0046517E">
            <w:pPr>
              <w:rPr>
                <w:rFonts w:ascii="Twinkl" w:hAnsi="Twinkl"/>
                <w:i/>
                <w:sz w:val="14"/>
                <w:szCs w:val="14"/>
              </w:rPr>
            </w:pPr>
          </w:p>
          <w:p w14:paraId="31F0A5D0" w14:textId="77777777" w:rsidR="007E231E" w:rsidRPr="003C5EA2" w:rsidRDefault="007E231E" w:rsidP="0046517E">
            <w:pPr>
              <w:rPr>
                <w:rFonts w:ascii="Twinkl" w:hAnsi="Twinkl"/>
                <w:i/>
                <w:sz w:val="14"/>
                <w:szCs w:val="14"/>
              </w:rPr>
            </w:pPr>
          </w:p>
          <w:p w14:paraId="7815FCFE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Other books: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 The Egyptian Cinderella by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Shirley Climo</w:t>
            </w:r>
          </w:p>
          <w:p w14:paraId="7E9793B5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7E231E" w:rsidRPr="00ED3359" w14:paraId="1217FB46" w14:textId="77777777" w:rsidTr="0046517E">
        <w:trPr>
          <w:trHeight w:val="286"/>
        </w:trPr>
        <w:tc>
          <w:tcPr>
            <w:tcW w:w="1315" w:type="dxa"/>
            <w:vMerge/>
          </w:tcPr>
          <w:p w14:paraId="6441D545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912" w:type="dxa"/>
          </w:tcPr>
          <w:p w14:paraId="4C9FA5E9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23ACC06D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657" w:type="dxa"/>
            <w:gridSpan w:val="7"/>
          </w:tcPr>
          <w:p w14:paraId="355ED4D7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who are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>e use PM Benchmarking to assess the</w:t>
            </w:r>
            <w:r>
              <w:rPr>
                <w:rFonts w:ascii="Twinkl" w:hAnsi="Twinkl"/>
                <w:sz w:val="14"/>
                <w:szCs w:val="14"/>
              </w:rPr>
              <w:t>ir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word reading and comprehension ability</w:t>
            </w:r>
            <w:r>
              <w:rPr>
                <w:rFonts w:ascii="Twinkl" w:hAnsi="Twinkl"/>
                <w:sz w:val="14"/>
                <w:szCs w:val="14"/>
              </w:rPr>
              <w:t xml:space="preserve">. 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Children are then given Oxford Reading Tree Readi</w:t>
            </w:r>
            <w:r>
              <w:rPr>
                <w:rFonts w:ascii="Twinkl" w:hAnsi="Twinkl"/>
                <w:sz w:val="14"/>
                <w:szCs w:val="14"/>
              </w:rPr>
              <w:t xml:space="preserve">ng books to match their ability. We use NFER reading assessment to assess children’s reading comprehension ability. We promote reading for pleasure and children have a free choice of books to take home. </w:t>
            </w:r>
          </w:p>
        </w:tc>
      </w:tr>
      <w:tr w:rsidR="007E231E" w:rsidRPr="00ED3359" w14:paraId="17E095E5" w14:textId="77777777" w:rsidTr="0046517E">
        <w:trPr>
          <w:trHeight w:val="478"/>
        </w:trPr>
        <w:tc>
          <w:tcPr>
            <w:tcW w:w="1315" w:type="dxa"/>
            <w:vMerge/>
          </w:tcPr>
          <w:p w14:paraId="3D0F64A0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129430CF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11657" w:type="dxa"/>
            <w:gridSpan w:val="7"/>
          </w:tcPr>
          <w:p w14:paraId="5A213124" w14:textId="77777777" w:rsidR="007E231E" w:rsidRPr="005443DD" w:rsidRDefault="007E231E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Children 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e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identifies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</w:t>
            </w:r>
          </w:p>
          <w:p w14:paraId="466717E8" w14:textId="77777777" w:rsidR="007E231E" w:rsidRPr="005443DD" w:rsidRDefault="007E231E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>
              <w:rPr>
                <w:rFonts w:ascii="Twinkl" w:hAnsi="Twinkl"/>
                <w:sz w:val="15"/>
                <w:szCs w:val="15"/>
                <w:lang w:val="en-US"/>
              </w:rPr>
              <w:t>predicting, making connections, asking questions, evaluating, inferring, summarising,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  <w:p w14:paraId="7C0CF35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7E231E" w:rsidRPr="00ED3359" w14:paraId="50F4F46F" w14:textId="77777777" w:rsidTr="0046517E">
        <w:trPr>
          <w:trHeight w:val="478"/>
        </w:trPr>
        <w:tc>
          <w:tcPr>
            <w:tcW w:w="1315" w:type="dxa"/>
            <w:vMerge/>
          </w:tcPr>
          <w:p w14:paraId="1DE32FB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2FAA1177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2100" w:type="dxa"/>
          </w:tcPr>
          <w:p w14:paraId="2A6CCC7C" w14:textId="77777777" w:rsidR="007E231E" w:rsidRPr="0007780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77800">
              <w:rPr>
                <w:rFonts w:ascii="Twinkl" w:hAnsi="Twinkl"/>
                <w:sz w:val="14"/>
                <w:szCs w:val="14"/>
                <w:lang w:val="en-US"/>
              </w:rPr>
              <w:t xml:space="preserve">use further prefixes and suffixes and understand how to add them (English Appendix 1) </w:t>
            </w:r>
          </w:p>
          <w:p w14:paraId="2AED8B1D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75FE97BF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106DC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s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 xml:space="preserve">pell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more complex word forms and 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>start to u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se dictionaries. </w:t>
            </w:r>
          </w:p>
          <w:p w14:paraId="68503AA4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8E68D20" w14:textId="77777777" w:rsidR="007E231E" w:rsidRPr="00DA41D6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A41D6">
              <w:rPr>
                <w:rFonts w:ascii="Twinkl" w:hAnsi="Twinkl"/>
                <w:sz w:val="14"/>
                <w:szCs w:val="14"/>
                <w:lang w:val="en-US"/>
              </w:rPr>
              <w:t xml:space="preserve">use the first two or three letters of a word to check its spelling in a dictionary </w:t>
            </w:r>
          </w:p>
          <w:p w14:paraId="6FC105E0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B0B48E0" w14:textId="77777777" w:rsidR="007E231E" w:rsidRPr="00B35DA5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AF7A5CB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69A05694" w14:textId="77777777" w:rsidR="007E231E" w:rsidRPr="00B35DA5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s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 xml:space="preserve">pelling words that are often misspelt (word list for year 1, 2 and 3) </w:t>
            </w:r>
          </w:p>
          <w:p w14:paraId="472652F1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  <w:gridSpan w:val="2"/>
          </w:tcPr>
          <w:p w14:paraId="2448C5F6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B35DA5">
              <w:rPr>
                <w:rFonts w:ascii="Twinkl" w:hAnsi="Twinkl"/>
                <w:sz w:val="14"/>
                <w:szCs w:val="14"/>
                <w:lang w:val="en-US"/>
              </w:rPr>
              <w:t>using the possessive apostrophe with regular and irregular plurals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6DF431D" w14:textId="77777777" w:rsidR="007E231E" w:rsidRPr="00EF2067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F2067">
              <w:rPr>
                <w:rFonts w:ascii="Twinkl" w:hAnsi="Twinkl"/>
                <w:sz w:val="14"/>
                <w:szCs w:val="14"/>
                <w:lang w:val="en-US"/>
              </w:rPr>
              <w:t xml:space="preserve"> [for example, girls’, boys’] and in words with irregular plurals [for example, children’s] </w:t>
            </w:r>
          </w:p>
          <w:p w14:paraId="0E1E73B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32" w:type="dxa"/>
          </w:tcPr>
          <w:p w14:paraId="414A3EEC" w14:textId="77777777" w:rsidR="007E231E" w:rsidRPr="0007780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Spelling lots of 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>homophones correctly</w:t>
            </w:r>
          </w:p>
          <w:p w14:paraId="585CBED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76" w:type="dxa"/>
          </w:tcPr>
          <w:p w14:paraId="79125FDF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3 curriculum</w:t>
            </w:r>
          </w:p>
        </w:tc>
      </w:tr>
      <w:tr w:rsidR="007E231E" w:rsidRPr="00ED3359" w14:paraId="7B415EA1" w14:textId="77777777" w:rsidTr="0046517E">
        <w:trPr>
          <w:trHeight w:val="478"/>
        </w:trPr>
        <w:tc>
          <w:tcPr>
            <w:tcW w:w="1315" w:type="dxa"/>
            <w:vMerge/>
          </w:tcPr>
          <w:p w14:paraId="60521B11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48E545B9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1657" w:type="dxa"/>
            <w:gridSpan w:val="7"/>
          </w:tcPr>
          <w:p w14:paraId="1EB0AF4A" w14:textId="77777777" w:rsidR="007E231E" w:rsidRPr="00ED3359" w:rsidRDefault="007E231E" w:rsidP="0046517E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>We follow the Penpals handwriting programme</w:t>
            </w:r>
          </w:p>
        </w:tc>
      </w:tr>
      <w:tr w:rsidR="007E231E" w:rsidRPr="00ED3359" w14:paraId="5127DB0F" w14:textId="77777777" w:rsidTr="0046517E">
        <w:trPr>
          <w:trHeight w:val="2269"/>
        </w:trPr>
        <w:tc>
          <w:tcPr>
            <w:tcW w:w="1315" w:type="dxa"/>
            <w:vMerge/>
          </w:tcPr>
          <w:p w14:paraId="15D841E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2464CE54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2100" w:type="dxa"/>
          </w:tcPr>
          <w:p w14:paraId="4A4C21B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B619D1">
              <w:rPr>
                <w:rFonts w:ascii="Twinkl" w:hAnsi="Twinkl"/>
                <w:sz w:val="14"/>
                <w:szCs w:val="14"/>
                <w:lang w:val="en-US"/>
              </w:rPr>
              <w:t>composing and rehearsing sentences or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ally (including dialogue)</w:t>
            </w:r>
          </w:p>
          <w:p w14:paraId="65B641F8" w14:textId="77777777" w:rsidR="007E231E" w:rsidRPr="00B619D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B619D1">
              <w:rPr>
                <w:rFonts w:ascii="Twinkl" w:hAnsi="Twinkl"/>
                <w:sz w:val="14"/>
                <w:szCs w:val="14"/>
                <w:lang w:val="en-US"/>
              </w:rPr>
              <w:t xml:space="preserve">building a varied and rich vocabulary and an increasing range of sentence structures (English Appendix 2) </w:t>
            </w:r>
          </w:p>
          <w:p w14:paraId="1C0DB4CB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poetry writing</w:t>
            </w:r>
          </w:p>
        </w:tc>
        <w:tc>
          <w:tcPr>
            <w:tcW w:w="2031" w:type="dxa"/>
          </w:tcPr>
          <w:p w14:paraId="54DD8039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49C0">
              <w:rPr>
                <w:rFonts w:ascii="Twinkl" w:hAnsi="Twinkl"/>
                <w:sz w:val="14"/>
                <w:szCs w:val="14"/>
                <w:lang w:val="en-US"/>
              </w:rPr>
              <w:t xml:space="preserve">discussing and recording ideas </w:t>
            </w:r>
          </w:p>
          <w:p w14:paraId="508CF88D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(ongoing)</w:t>
            </w:r>
          </w:p>
          <w:p w14:paraId="4B281E00" w14:textId="77777777" w:rsidR="007E231E" w:rsidRPr="000B49C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D13CB9A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49C0">
              <w:rPr>
                <w:rFonts w:ascii="Twinkl" w:hAnsi="Twinkl"/>
                <w:sz w:val="14"/>
                <w:szCs w:val="14"/>
                <w:lang w:val="en-US"/>
              </w:rPr>
              <w:t>creatin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g settings, characters and plot</w:t>
            </w:r>
            <w:r w:rsidRPr="000B49C0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 narratives</w:t>
            </w:r>
          </w:p>
          <w:p w14:paraId="5B76B87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748FD883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49C0">
              <w:rPr>
                <w:rFonts w:ascii="Twinkl" w:hAnsi="Twinkl"/>
                <w:sz w:val="14"/>
                <w:szCs w:val="14"/>
                <w:lang w:val="en-US"/>
              </w:rPr>
              <w:t xml:space="preserve">organising paragraphs around a theme </w:t>
            </w:r>
          </w:p>
          <w:p w14:paraId="4D7222A2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EA7833C" w14:textId="77777777" w:rsidR="007E231E" w:rsidRPr="003564FA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564FA">
              <w:rPr>
                <w:rFonts w:ascii="Twinkl" w:hAnsi="Twinkl"/>
                <w:sz w:val="14"/>
                <w:szCs w:val="14"/>
                <w:lang w:val="en-US"/>
              </w:rPr>
              <w:t xml:space="preserve">non-narrative material, using simple organisational devices [for example, headings and sub-headings] </w:t>
            </w:r>
          </w:p>
          <w:p w14:paraId="6B625B3A" w14:textId="77777777" w:rsidR="007E231E" w:rsidRPr="000B49C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752B662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98" w:type="dxa"/>
          </w:tcPr>
          <w:p w14:paraId="7B2BA03F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>proof-read for spelling and punctuation errors</w:t>
            </w:r>
          </w:p>
        </w:tc>
        <w:tc>
          <w:tcPr>
            <w:tcW w:w="1843" w:type="dxa"/>
            <w:gridSpan w:val="2"/>
          </w:tcPr>
          <w:p w14:paraId="53AF7823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editing skills </w:t>
            </w:r>
          </w:p>
          <w:p w14:paraId="0DA0BC3F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A627515" w14:textId="77777777" w:rsidR="007E231E" w:rsidRPr="00CC1B63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 xml:space="preserve">assessing the effectiveness of their own and others’ writing and suggesting </w:t>
            </w:r>
          </w:p>
          <w:p w14:paraId="5E32894F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 xml:space="preserve">improvements </w:t>
            </w:r>
          </w:p>
          <w:p w14:paraId="53CA7E01" w14:textId="77777777" w:rsidR="007E231E" w:rsidRPr="00CC1B63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A50D232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 xml:space="preserve">proposing changes to grammar and vocabulary to improve consistency, including the accurate use of pronouns in sentences </w:t>
            </w:r>
          </w:p>
          <w:p w14:paraId="299C75DF" w14:textId="77777777" w:rsidR="007E231E" w:rsidRPr="00C10A8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 </w:t>
            </w:r>
          </w:p>
        </w:tc>
        <w:tc>
          <w:tcPr>
            <w:tcW w:w="1876" w:type="dxa"/>
          </w:tcPr>
          <w:p w14:paraId="7262BE35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3 curriculum</w:t>
            </w:r>
          </w:p>
        </w:tc>
      </w:tr>
      <w:tr w:rsidR="007E231E" w:rsidRPr="00ED3359" w14:paraId="5C5B17B3" w14:textId="77777777" w:rsidTr="0046517E">
        <w:trPr>
          <w:trHeight w:val="478"/>
        </w:trPr>
        <w:tc>
          <w:tcPr>
            <w:tcW w:w="1315" w:type="dxa"/>
            <w:vMerge/>
          </w:tcPr>
          <w:p w14:paraId="010BA632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36F3742D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2100" w:type="dxa"/>
          </w:tcPr>
          <w:p w14:paraId="34BCBC0A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47869AD5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11EEB6FF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adverbs (e.g. then, next, therefore, soon) </w:t>
            </w:r>
          </w:p>
          <w:p w14:paraId="0DEF1168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>Vary sentence structure by</w:t>
            </w:r>
            <w:r w:rsidRPr="003F6ABF">
              <w:rPr>
                <w:rFonts w:ascii="Twinkl" w:hAnsi="Twinkl"/>
                <w:sz w:val="14"/>
                <w:szCs w:val="14"/>
                <w:lang w:val="en-US"/>
              </w:rPr>
              <w:br/>
              <w:t xml:space="preserve">expressing time and cause using: </w:t>
            </w:r>
          </w:p>
          <w:p w14:paraId="277B822C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conjunctions (e.g. </w:t>
            </w:r>
          </w:p>
          <w:p w14:paraId="483D9F16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so, when, before, after, while, because) </w:t>
            </w:r>
          </w:p>
          <w:p w14:paraId="7F0CE54E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2CC5EB21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prepositions (e.g. before, after, during, in, because of) </w:t>
            </w:r>
          </w:p>
          <w:p w14:paraId="3FDA2C54" w14:textId="77777777" w:rsidR="007E231E" w:rsidRPr="00416F1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16F11">
              <w:rPr>
                <w:rFonts w:ascii="Twinkl" w:hAnsi="Twinkl"/>
                <w:sz w:val="14"/>
                <w:szCs w:val="14"/>
                <w:lang w:val="en-US"/>
              </w:rPr>
              <w:t xml:space="preserve">direct speech </w:t>
            </w:r>
          </w:p>
          <w:p w14:paraId="2FE3561A" w14:textId="77777777" w:rsidR="007E231E" w:rsidRPr="00416F1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16F11">
              <w:rPr>
                <w:rFonts w:ascii="Twinkl" w:hAnsi="Twinkl"/>
                <w:sz w:val="14"/>
                <w:szCs w:val="14"/>
                <w:lang w:val="en-US"/>
              </w:rPr>
              <w:t xml:space="preserve">consonant, consonant letter vowel, vowel letter inverted commas (or ‘speech marks’) </w:t>
            </w:r>
          </w:p>
          <w:p w14:paraId="3F6AF724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98" w:type="dxa"/>
          </w:tcPr>
          <w:p w14:paraId="0597F5CD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Use adverbials of time, place and manner (e.g. at midnight, over the hill) </w:t>
            </w:r>
          </w:p>
          <w:p w14:paraId="31BD6528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Consistent use of past and present tense, including irregular forms </w:t>
            </w:r>
          </w:p>
          <w:p w14:paraId="49DE856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14:paraId="78B07A09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16F11">
              <w:rPr>
                <w:rFonts w:ascii="Twinkl" w:hAnsi="Twinkl"/>
                <w:sz w:val="14"/>
                <w:szCs w:val="14"/>
                <w:lang w:val="en-US"/>
              </w:rPr>
              <w:t>word family, prefix</w:t>
            </w:r>
            <w:r w:rsidRPr="00416F11">
              <w:rPr>
                <w:rFonts w:ascii="Twinkl" w:hAnsi="Twinkl"/>
                <w:sz w:val="14"/>
                <w:szCs w:val="14"/>
                <w:lang w:val="en-US"/>
              </w:rPr>
              <w:br/>
              <w:t>clause, subordinate clause</w:t>
            </w:r>
          </w:p>
          <w:p w14:paraId="25469F43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76" w:type="dxa"/>
          </w:tcPr>
          <w:p w14:paraId="215887B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3 curriculum and grammar from English Appendix 2 in NC document.</w:t>
            </w:r>
          </w:p>
        </w:tc>
      </w:tr>
    </w:tbl>
    <w:p w14:paraId="2DA90BEA" w14:textId="77777777" w:rsidR="00051DB1" w:rsidRDefault="00051DB1"/>
    <w:sectPr w:rsidR="00051DB1" w:rsidSect="007E231E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D3E7" w14:textId="77777777" w:rsidR="00D451E1" w:rsidRDefault="00D451E1" w:rsidP="007E231E">
      <w:r>
        <w:separator/>
      </w:r>
    </w:p>
  </w:endnote>
  <w:endnote w:type="continuationSeparator" w:id="0">
    <w:p w14:paraId="4210A3F1" w14:textId="77777777" w:rsidR="00D451E1" w:rsidRDefault="00D451E1" w:rsidP="007E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190BA" w14:textId="77777777" w:rsidR="00D451E1" w:rsidRDefault="00D451E1" w:rsidP="007E231E">
      <w:r>
        <w:separator/>
      </w:r>
    </w:p>
  </w:footnote>
  <w:footnote w:type="continuationSeparator" w:id="0">
    <w:p w14:paraId="288F3D9C" w14:textId="77777777" w:rsidR="00D451E1" w:rsidRDefault="00D451E1" w:rsidP="007E2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8840" w14:textId="77777777" w:rsidR="007E231E" w:rsidRPr="00ED3359" w:rsidRDefault="007E231E" w:rsidP="007E231E">
    <w:pPr>
      <w:jc w:val="center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6A71E8E6" w14:textId="631EF237" w:rsidR="007E231E" w:rsidRPr="00ED3359" w:rsidRDefault="00BA7A2D" w:rsidP="007E231E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</w:t>
    </w:r>
    <w:r w:rsidR="007E231E">
      <w:rPr>
        <w:rFonts w:ascii="Twinkl" w:hAnsi="Twinkl"/>
        <w:b/>
        <w:sz w:val="14"/>
        <w:szCs w:val="14"/>
        <w:u w:val="single"/>
      </w:rPr>
      <w:t xml:space="preserve"> Year 3</w:t>
    </w:r>
  </w:p>
  <w:p w14:paraId="2F009DBE" w14:textId="77777777" w:rsidR="007E231E" w:rsidRDefault="007E2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E"/>
    <w:rsid w:val="000373A4"/>
    <w:rsid w:val="00051DB1"/>
    <w:rsid w:val="00605E16"/>
    <w:rsid w:val="006676ED"/>
    <w:rsid w:val="007B54EA"/>
    <w:rsid w:val="007E231E"/>
    <w:rsid w:val="00BA7A2D"/>
    <w:rsid w:val="00CD59E8"/>
    <w:rsid w:val="00D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9F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1E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31E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1E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1E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Macintosh Word</Application>
  <DocSecurity>0</DocSecurity>
  <Lines>30</Lines>
  <Paragraphs>8</Paragraphs>
  <ScaleCrop>false</ScaleCrop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2021-08-26T16:40:00Z</dcterms:created>
  <dcterms:modified xsi:type="dcterms:W3CDTF">2021-09-20T07:13:00Z</dcterms:modified>
</cp:coreProperties>
</file>